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3E58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1C1D8F3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50BCAE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562F2EB3" w14:textId="616DE8B1" w:rsidR="00481907" w:rsidRDefault="0048190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Inizio: </w:t>
      </w:r>
      <w:r w:rsidR="00533B96">
        <w:rPr>
          <w:rFonts w:ascii="Titillium" w:hAnsi="Titillium"/>
          <w:sz w:val="20"/>
          <w:szCs w:val="20"/>
        </w:rPr>
        <w:t>28</w:t>
      </w:r>
      <w:r>
        <w:rPr>
          <w:rFonts w:ascii="Titillium" w:hAnsi="Titillium"/>
          <w:sz w:val="20"/>
          <w:szCs w:val="20"/>
        </w:rPr>
        <w:t>/05/2021</w:t>
      </w:r>
    </w:p>
    <w:p w14:paraId="31765865" w14:textId="27E02275" w:rsidR="00481907" w:rsidRPr="0041405A" w:rsidRDefault="0048190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Fine: 31/05/2021</w:t>
      </w:r>
    </w:p>
    <w:p w14:paraId="0DAC44B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24D60464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</w:t>
      </w:r>
      <w:r w:rsidRPr="00580E1F">
        <w:rPr>
          <w:rFonts w:ascii="Titillium" w:hAnsi="Titillium"/>
          <w:b/>
          <w:i/>
          <w:sz w:val="20"/>
          <w:szCs w:val="20"/>
          <w:u w:val="single"/>
        </w:rPr>
        <w:t xml:space="preserve">(nel </w:t>
      </w:r>
      <w:r w:rsidR="00FC7906" w:rsidRPr="00580E1F">
        <w:rPr>
          <w:rFonts w:ascii="Titillium" w:hAnsi="Titillium"/>
          <w:b/>
          <w:i/>
          <w:sz w:val="20"/>
          <w:szCs w:val="20"/>
          <w:u w:val="single"/>
        </w:rPr>
        <w:t xml:space="preserve">solo </w:t>
      </w:r>
      <w:r w:rsidRPr="00580E1F">
        <w:rPr>
          <w:rFonts w:ascii="Titillium" w:hAnsi="Titillium"/>
          <w:b/>
          <w:i/>
          <w:sz w:val="20"/>
          <w:szCs w:val="20"/>
          <w:u w:val="single"/>
        </w:rPr>
        <w:t>caso di ammin</w:t>
      </w:r>
      <w:r w:rsidR="007A107C" w:rsidRPr="00580E1F">
        <w:rPr>
          <w:rFonts w:ascii="Titillium" w:hAnsi="Titillium"/>
          <w:b/>
          <w:i/>
          <w:sz w:val="20"/>
          <w:szCs w:val="20"/>
          <w:u w:val="single"/>
        </w:rPr>
        <w:t>istrazioni</w:t>
      </w:r>
      <w:r w:rsidR="00FC7906" w:rsidRPr="00580E1F">
        <w:rPr>
          <w:rFonts w:ascii="Titillium" w:hAnsi="Titillium"/>
          <w:b/>
          <w:i/>
          <w:sz w:val="20"/>
          <w:szCs w:val="20"/>
          <w:u w:val="single"/>
        </w:rPr>
        <w:t>/enti</w:t>
      </w:r>
      <w:r w:rsidR="007A107C" w:rsidRPr="00580E1F">
        <w:rPr>
          <w:rFonts w:ascii="Titillium" w:hAnsi="Titillium"/>
          <w:b/>
          <w:i/>
          <w:sz w:val="20"/>
          <w:szCs w:val="20"/>
          <w:u w:val="single"/>
        </w:rPr>
        <w:t xml:space="preserve"> con uffici periferici</w:t>
      </w:r>
      <w:r w:rsidR="007A107C" w:rsidRPr="0041405A">
        <w:rPr>
          <w:rFonts w:ascii="Titillium" w:hAnsi="Titillium"/>
          <w:b/>
          <w:i/>
          <w:sz w:val="20"/>
          <w:szCs w:val="20"/>
        </w:rPr>
        <w:t>)</w:t>
      </w:r>
    </w:p>
    <w:p w14:paraId="4173423A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7371105" w14:textId="6021AF80" w:rsidR="00C27B23" w:rsidRPr="0041405A" w:rsidRDefault="008374F7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Non sono presenti uffici periferici. </w:t>
      </w:r>
    </w:p>
    <w:p w14:paraId="1694DB90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7B7E8C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569B605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34FF3F86" w14:textId="7A3D20D0" w:rsidR="00C27B23" w:rsidRPr="0041405A" w:rsidRDefault="0048249A" w:rsidP="00481907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F34B8F1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64A7D768" w14:textId="6AC5932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8AC6F0E" w14:textId="13AEAE26" w:rsidR="00556B29" w:rsidRPr="00556B29" w:rsidRDefault="00556B29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Rispetto all’attività di rilevazione, sono state segnalate al RPCT le sezioni in cui risulta necessario provvedere alla pubblicazione dei dati, in particolare quelle con valutazione pari a “0”.</w:t>
      </w:r>
    </w:p>
    <w:p w14:paraId="2B47DFEF" w14:textId="3A1B648F" w:rsidR="00481907" w:rsidRDefault="00481907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L’Istituto è un Centro di Servizi per Anziani la cui componente amministrativa gestisce internamente ogni aspetto della vita dell’ente</w:t>
      </w:r>
      <w:r w:rsidR="00556B29">
        <w:rPr>
          <w:rFonts w:ascii="Titillium" w:hAnsi="Titillium"/>
          <w:bCs/>
          <w:iCs/>
          <w:sz w:val="20"/>
          <w:szCs w:val="20"/>
        </w:rPr>
        <w:t>, ivi compresa la gestione della pubblicazione dei dati nell’amministrazione trasparente</w:t>
      </w:r>
      <w:r>
        <w:rPr>
          <w:rFonts w:ascii="Titillium" w:hAnsi="Titillium"/>
          <w:bCs/>
          <w:iCs/>
          <w:sz w:val="20"/>
          <w:szCs w:val="20"/>
        </w:rPr>
        <w:t>.</w:t>
      </w:r>
      <w:r w:rsidR="0098579C">
        <w:rPr>
          <w:rFonts w:ascii="Titillium" w:hAnsi="Titillium"/>
          <w:bCs/>
          <w:iCs/>
          <w:sz w:val="20"/>
          <w:szCs w:val="20"/>
        </w:rPr>
        <w:t xml:space="preserve"> </w:t>
      </w:r>
      <w:r>
        <w:rPr>
          <w:rFonts w:ascii="Titillium" w:hAnsi="Titillium"/>
          <w:bCs/>
          <w:iCs/>
          <w:sz w:val="20"/>
          <w:szCs w:val="20"/>
        </w:rPr>
        <w:t>Ciò si riflette sul rispetto delle tempistiche di pubblicazione di dati</w:t>
      </w:r>
      <w:r w:rsidR="00556B29">
        <w:rPr>
          <w:rFonts w:ascii="Titillium" w:hAnsi="Titillium"/>
          <w:bCs/>
          <w:iCs/>
          <w:sz w:val="20"/>
          <w:szCs w:val="20"/>
        </w:rPr>
        <w:t>, specie quelli</w:t>
      </w:r>
      <w:r>
        <w:rPr>
          <w:rFonts w:ascii="Titillium" w:hAnsi="Titillium"/>
          <w:bCs/>
          <w:iCs/>
          <w:sz w:val="20"/>
          <w:szCs w:val="20"/>
        </w:rPr>
        <w:t xml:space="preserve"> che richiedo</w:t>
      </w:r>
      <w:r w:rsidR="00556B29">
        <w:rPr>
          <w:rFonts w:ascii="Titillium" w:hAnsi="Titillium"/>
          <w:bCs/>
          <w:iCs/>
          <w:sz w:val="20"/>
          <w:szCs w:val="20"/>
        </w:rPr>
        <w:t>no</w:t>
      </w:r>
      <w:r>
        <w:rPr>
          <w:rFonts w:ascii="Titillium" w:hAnsi="Titillium"/>
          <w:bCs/>
          <w:iCs/>
          <w:sz w:val="20"/>
          <w:szCs w:val="20"/>
        </w:rPr>
        <w:t xml:space="preserve"> </w:t>
      </w:r>
      <w:r w:rsidR="00556B29">
        <w:rPr>
          <w:rFonts w:ascii="Titillium" w:hAnsi="Titillium"/>
          <w:bCs/>
          <w:iCs/>
          <w:sz w:val="20"/>
          <w:szCs w:val="20"/>
        </w:rPr>
        <w:t>un’attività di rielaborazione per essere</w:t>
      </w:r>
      <w:r>
        <w:rPr>
          <w:rFonts w:ascii="Titillium" w:hAnsi="Titillium"/>
          <w:bCs/>
          <w:iCs/>
          <w:sz w:val="20"/>
          <w:szCs w:val="20"/>
        </w:rPr>
        <w:t xml:space="preserve"> resi disponibili in formato tabellare.</w:t>
      </w:r>
    </w:p>
    <w:p w14:paraId="3714164C" w14:textId="2D7D2D49" w:rsidR="00481907" w:rsidRPr="00481907" w:rsidRDefault="0098579C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 xml:space="preserve">Al termine della valutazione è possibile valutare in maniera positiva </w:t>
      </w:r>
      <w:r w:rsidR="00481907">
        <w:rPr>
          <w:rFonts w:ascii="Titillium" w:hAnsi="Titillium"/>
          <w:bCs/>
          <w:iCs/>
          <w:sz w:val="20"/>
          <w:szCs w:val="20"/>
        </w:rPr>
        <w:t>la rispondenza agli obblighi di pubblicazione</w:t>
      </w:r>
      <w:r>
        <w:rPr>
          <w:rFonts w:ascii="Titillium" w:hAnsi="Titillium"/>
          <w:bCs/>
          <w:iCs/>
          <w:sz w:val="20"/>
          <w:szCs w:val="20"/>
        </w:rPr>
        <w:t>, che</w:t>
      </w:r>
      <w:r w:rsidR="00481907">
        <w:rPr>
          <w:rFonts w:ascii="Titillium" w:hAnsi="Titillium"/>
          <w:bCs/>
          <w:iCs/>
          <w:sz w:val="20"/>
          <w:szCs w:val="20"/>
        </w:rPr>
        <w:t xml:space="preserve"> </w:t>
      </w:r>
      <w:r w:rsidR="00556B29">
        <w:rPr>
          <w:rFonts w:ascii="Titillium" w:hAnsi="Titillium"/>
          <w:bCs/>
          <w:iCs/>
          <w:sz w:val="20"/>
          <w:szCs w:val="20"/>
        </w:rPr>
        <w:t>può ritenersi</w:t>
      </w:r>
      <w:r w:rsidR="00481907">
        <w:rPr>
          <w:rFonts w:ascii="Titillium" w:hAnsi="Titillium"/>
          <w:bCs/>
          <w:iCs/>
          <w:sz w:val="20"/>
          <w:szCs w:val="20"/>
        </w:rPr>
        <w:t xml:space="preserve"> sufficiente. </w:t>
      </w:r>
    </w:p>
    <w:p w14:paraId="67CBEE3F" w14:textId="1D19148E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6363C36" w14:textId="1EABF5D3" w:rsidR="00556B29" w:rsidRPr="00556B29" w:rsidRDefault="00556B29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Nessun documento da allegare.</w:t>
      </w:r>
    </w:p>
    <w:sectPr w:rsidR="00556B29" w:rsidRPr="00556B29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9EAF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712F3A3F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DFD3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3957D98A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0FFB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47CD87F" wp14:editId="648A576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0E76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1BA1E6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C2C3F7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088C667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D44BF93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039"/>
    <w:multiLevelType w:val="hybridMultilevel"/>
    <w:tmpl w:val="421E0B12"/>
    <w:lvl w:ilvl="0" w:tplc="7B840236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02FA5"/>
    <w:rsid w:val="0024134D"/>
    <w:rsid w:val="002C572E"/>
    <w:rsid w:val="003E1CF5"/>
    <w:rsid w:val="0041405A"/>
    <w:rsid w:val="00416AD0"/>
    <w:rsid w:val="00481907"/>
    <w:rsid w:val="0048249A"/>
    <w:rsid w:val="004833D5"/>
    <w:rsid w:val="004F18CD"/>
    <w:rsid w:val="00533B96"/>
    <w:rsid w:val="00556B29"/>
    <w:rsid w:val="00580E1F"/>
    <w:rsid w:val="0060106A"/>
    <w:rsid w:val="006E496C"/>
    <w:rsid w:val="007052EA"/>
    <w:rsid w:val="00713BFD"/>
    <w:rsid w:val="007A107C"/>
    <w:rsid w:val="008374F7"/>
    <w:rsid w:val="00837860"/>
    <w:rsid w:val="00847CD1"/>
    <w:rsid w:val="0085206C"/>
    <w:rsid w:val="00861FE1"/>
    <w:rsid w:val="008A0378"/>
    <w:rsid w:val="00955140"/>
    <w:rsid w:val="0098579C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B3E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Franceco Altinier</cp:lastModifiedBy>
  <cp:revision>34</cp:revision>
  <cp:lastPrinted>2018-02-28T15:30:00Z</cp:lastPrinted>
  <dcterms:created xsi:type="dcterms:W3CDTF">2013-12-19T15:41:00Z</dcterms:created>
  <dcterms:modified xsi:type="dcterms:W3CDTF">2021-06-29T15:12:00Z</dcterms:modified>
</cp:coreProperties>
</file>